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关于举办贵州辖区上市公司2013年年度业绩</dc:title>
  <dc:creator>Administrator</dc:creator>
  <cp:lastModifiedBy>李吉</cp:lastModifiedBy>
  <cp:revision>32</cp:revision>
  <cp:lastPrinted>2024-04-16T01:21:00Z</cp:lastPrinted>
  <dcterms:created xsi:type="dcterms:W3CDTF">2023-04-24T01:24:00Z</dcterms:created>
  <dcterms:modified xsi:type="dcterms:W3CDTF">2026-04-27T07:18:00Z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D9C733F7817B4D119706981C76F0DC0F</vt:lpwstr>
  </property>
  <property fmtid="{D5CDD505-2E9C-101B-9397-08002B2CF9AE}" pid="4" name="commondata">
    <vt:lpwstr>eyJoZGlkIjoiMWYwNzMxYjYxNzQ0ZGY4MDEzNTNmZmJhNWI3NjQ1NGMifQ==</vt:lpwstr>
  </property>
  <property fmtid="{D5CDD505-2E9C-101B-9397-08002B2CF9AE}" pid="5" name="KSOTemplateDocerSaveRecord">
    <vt:lpwstr>eyJoZGlkIjoiYWNlMzYwZDU0ODcxNTc4ZDQxOGE2NmNkM2VkZDBlZGQiLCJ1c2VySWQiOiIxNzE2MTMzODUxIn0=</vt:lpwstr>
  </property>
</Properties>
</file>